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Metadata Required for Collections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465"/>
        <w:tblGridChange w:id="0">
          <w:tblGrid>
            <w:gridCol w:w="2415"/>
            <w:gridCol w:w="6465"/>
          </w:tblGrid>
        </w:tblGridChange>
      </w:tblGrid>
      <w:tr>
        <w:trPr>
          <w:trHeight w:val="51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Information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the collection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 Collection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Optional, identify an existing collection as a parent collection which allows the current collection to inherit metadata from that parent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a description of the collection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5625"/>
        <w:tblGridChange w:id="0">
          <w:tblGrid>
            <w:gridCol w:w="3735"/>
            <w:gridCol w:w="562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Browse and Display Options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Hide this collection?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Browsing Sort Resources by (select 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Resource type, relevance, ID, ID (most recent), title, title (z-a),  project, date, date (most recent), date updated, date created, date updated (most recent)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Display collection as (select 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list, list (full)</w:t>
            </w:r>
            <w:r w:rsidDel="00000000" w:rsidR="00000000" w:rsidRPr="00000000">
              <w:rPr>
                <w:rtl w:val="0"/>
              </w:rPr>
              <w:t xml:space="preserve">, grid, map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select the resources to include in the collection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** Permissions are managed after the collection is created**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